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t xml:space="preserve">Coon Rapids Cardinal Little League Gambling budget. </w:t>
      </w:r>
    </w:p>
    <w:p w:rsidR="00000000" w:rsidDel="00000000" w:rsidP="00000000" w:rsidRDefault="00000000" w:rsidRPr="00000000" w14:paraId="00000002">
      <w:pPr>
        <w:ind w:left="720" w:firstLine="0"/>
        <w:rPr/>
      </w:pPr>
      <w:r w:rsidDel="00000000" w:rsidR="00000000" w:rsidRPr="00000000">
        <w:rPr>
          <w:rtl w:val="0"/>
        </w:rPr>
        <w:t xml:space="preserve">December 2024.</w:t>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t xml:space="preserve">The December 2025 budget will include additional payroll, related tax for Christmas bonuses for pulltab employees and West Bend mutual(gambling manager‘s bond) Nothing else out of the ordinary. Nicole motion to approve the December budget Christy seconded and motion passed unanimously.</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Rocky motioned to accept a donation of $30,000. Chris seconded the motion and motion passed unanimously.</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